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Design and Technology </w:t>
      </w:r>
    </w:p>
    <w:p w:rsidR="00000000" w:rsidDel="00000000" w:rsidP="00000000" w:rsidRDefault="00000000" w:rsidRPr="00000000" w14:paraId="00000002">
      <w:pPr>
        <w:spacing w:after="220" w:before="22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Design and Technologies aims to develop the knowledge, understanding and skills to ensure that students: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rtl w:val="0"/>
        </w:rPr>
        <w:t xml:space="preserve">become critical users of technologies, and designers and producers of designed solutions;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rtl w:val="0"/>
        </w:rPr>
        <w:t xml:space="preserve">can investigate, generate and critique designed solutions for sustainable futures;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rtl w:val="0"/>
        </w:rPr>
        <w:t xml:space="preserve">use design and systems thinking to generate innovative and ethical design ideas, and communicate these to a range of audiences;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rtl w:val="0"/>
        </w:rPr>
        <w:t xml:space="preserve">create designed solutions suitable for a range of contexts by creatively selecting and safely manipulating a range of materials, systems, components, tools and equipment;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rtl w:val="0"/>
        </w:rPr>
        <w:t xml:space="preserve">learn how to transfer the knowledge and skills from design and technologies to new situations; and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2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rtl w:val="0"/>
        </w:rPr>
        <w:t xml:space="preserve">understand the roles and responsibilities of people in design and technology occupations, and how they contribute to society.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