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20" w:before="22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Critical and Creative Thinking 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80" w:lineRule="auto"/>
        <w:rPr/>
      </w:pPr>
      <w:r w:rsidDel="00000000" w:rsidR="00000000" w:rsidRPr="00000000">
        <w:rPr>
          <w:rtl w:val="0"/>
        </w:rPr>
        <w:t xml:space="preserve">Critical and creative thinking capability aims to ensure that students develop:</w:t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before="60" w:lineRule="auto"/>
        <w:ind w:left="1060" w:hanging="360"/>
        <w:rPr>
          <w:color w:val="000000"/>
          <w:sz w:val="22"/>
          <w:szCs w:val="22"/>
        </w:rPr>
      </w:pPr>
      <w:r w:rsidDel="00000000" w:rsidR="00000000" w:rsidRPr="00000000">
        <w:rPr>
          <w:rtl w:val="0"/>
        </w:rPr>
        <w:t xml:space="preserve">understanding of thinking processes and an ability to manage and apply these intentionally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before="0" w:beforeAutospacing="0" w:lineRule="auto"/>
        <w:ind w:left="1060" w:hanging="360"/>
        <w:rPr>
          <w:color w:val="000000"/>
          <w:sz w:val="22"/>
          <w:szCs w:val="22"/>
        </w:rPr>
      </w:pPr>
      <w:r w:rsidDel="00000000" w:rsidR="00000000" w:rsidRPr="00000000">
        <w:rPr>
          <w:rtl w:val="0"/>
        </w:rPr>
        <w:t xml:space="preserve">skills and learning dispositions that support logical, strategic, flexible and adventurous thinking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500" w:before="0" w:beforeAutospacing="0" w:lineRule="auto"/>
        <w:ind w:left="1060" w:hanging="360"/>
        <w:rPr>
          <w:color w:val="000000"/>
          <w:sz w:val="22"/>
          <w:szCs w:val="22"/>
        </w:rPr>
      </w:pPr>
      <w:r w:rsidDel="00000000" w:rsidR="00000000" w:rsidRPr="00000000">
        <w:rPr>
          <w:rtl w:val="0"/>
        </w:rPr>
        <w:t xml:space="preserve">confidence in evaluating thinking and thinking processes across a range of familiar and unfamiliar context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color w:val="636363"/>
        <w:sz w:val="21"/>
        <w:szCs w:val="2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